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64" w:rsidRPr="0051428F" w:rsidRDefault="00A17864" w:rsidP="00461DD1">
      <w:pPr>
        <w:rPr>
          <w:rFonts w:ascii="Arial" w:hAnsi="Arial" w:cs="Arial"/>
          <w:b/>
          <w:bCs/>
          <w:sz w:val="22"/>
          <w:szCs w:val="22"/>
        </w:rPr>
      </w:pPr>
      <w:bookmarkStart w:id="0" w:name="_GoBack"/>
      <w:bookmarkEnd w:id="0"/>
      <w:r w:rsidRPr="0051428F">
        <w:rPr>
          <w:rFonts w:ascii="Arial" w:hAnsi="Arial" w:cs="Arial"/>
          <w:b/>
          <w:bCs/>
          <w:sz w:val="22"/>
          <w:szCs w:val="22"/>
        </w:rPr>
        <w:t>SM</w:t>
      </w:r>
      <w:r w:rsidR="00F654BD" w:rsidRPr="0051428F">
        <w:rPr>
          <w:rFonts w:ascii="Arial" w:hAnsi="Arial" w:cs="Arial"/>
          <w:b/>
          <w:bCs/>
          <w:sz w:val="22"/>
          <w:szCs w:val="22"/>
        </w:rPr>
        <w:t>C</w:t>
      </w:r>
      <w:r w:rsidRPr="0051428F">
        <w:rPr>
          <w:rFonts w:ascii="Arial" w:hAnsi="Arial" w:cs="Arial"/>
          <w:b/>
          <w:bCs/>
          <w:sz w:val="22"/>
          <w:szCs w:val="22"/>
        </w:rPr>
        <w:t xml:space="preserve"> </w:t>
      </w:r>
      <w:r w:rsidR="00441B1E" w:rsidRPr="0051428F">
        <w:rPr>
          <w:rFonts w:ascii="Arial" w:hAnsi="Arial" w:cs="Arial"/>
          <w:b/>
          <w:bCs/>
          <w:sz w:val="22"/>
          <w:szCs w:val="22"/>
        </w:rPr>
        <w:t>10</w:t>
      </w:r>
      <w:r w:rsidR="00461DD1" w:rsidRPr="0051428F">
        <w:rPr>
          <w:rFonts w:ascii="Arial" w:hAnsi="Arial" w:cs="Arial"/>
          <w:b/>
          <w:bCs/>
          <w:sz w:val="22"/>
          <w:szCs w:val="22"/>
        </w:rPr>
        <w:t xml:space="preserve"> –</w:t>
      </w:r>
      <w:r w:rsidRPr="0051428F">
        <w:rPr>
          <w:rFonts w:ascii="Arial" w:hAnsi="Arial" w:cs="Arial"/>
          <w:b/>
          <w:bCs/>
          <w:sz w:val="22"/>
          <w:szCs w:val="22"/>
        </w:rPr>
        <w:t xml:space="preserve"> </w:t>
      </w:r>
      <w:r w:rsidR="00441B1E" w:rsidRPr="0051428F">
        <w:rPr>
          <w:rFonts w:ascii="Arial" w:hAnsi="Arial" w:cs="Arial"/>
          <w:b/>
          <w:bCs/>
          <w:sz w:val="22"/>
          <w:szCs w:val="22"/>
        </w:rPr>
        <w:t>Appl</w:t>
      </w:r>
      <w:r w:rsidR="006B7569">
        <w:rPr>
          <w:rFonts w:ascii="Arial" w:hAnsi="Arial" w:cs="Arial"/>
          <w:b/>
          <w:bCs/>
          <w:sz w:val="22"/>
          <w:szCs w:val="22"/>
        </w:rPr>
        <w:t>y fatigue management strategies</w:t>
      </w:r>
    </w:p>
    <w:p w:rsidR="00A17864" w:rsidRPr="0051428F" w:rsidRDefault="00A17864" w:rsidP="00461DD1">
      <w:pPr>
        <w:rPr>
          <w:rFonts w:ascii="Arial" w:hAnsi="Arial" w:cs="Arial"/>
          <w:b/>
          <w:bCs/>
          <w:sz w:val="22"/>
          <w:szCs w:val="22"/>
        </w:rPr>
      </w:pPr>
    </w:p>
    <w:p w:rsidR="00A17864" w:rsidRPr="0051428F" w:rsidRDefault="00A17864" w:rsidP="00461DD1">
      <w:pPr>
        <w:rPr>
          <w:rFonts w:ascii="Arial" w:hAnsi="Arial" w:cs="Arial"/>
          <w:b/>
          <w:bCs/>
          <w:sz w:val="22"/>
          <w:szCs w:val="22"/>
        </w:rPr>
      </w:pPr>
      <w:r w:rsidRPr="0051428F">
        <w:rPr>
          <w:rFonts w:ascii="Arial" w:hAnsi="Arial" w:cs="Arial"/>
          <w:b/>
          <w:bCs/>
          <w:sz w:val="22"/>
          <w:szCs w:val="22"/>
        </w:rPr>
        <w:t>Unit Descriptor</w:t>
      </w:r>
    </w:p>
    <w:p w:rsidR="00441B1E" w:rsidRPr="0051428F" w:rsidRDefault="00441B1E" w:rsidP="00461DD1">
      <w:pPr>
        <w:pStyle w:val="BodyText2"/>
        <w:rPr>
          <w:b w:val="0"/>
          <w:sz w:val="22"/>
          <w:szCs w:val="22"/>
        </w:rPr>
      </w:pPr>
      <w:r w:rsidRPr="0051428F">
        <w:rPr>
          <w:b w:val="0"/>
          <w:sz w:val="22"/>
          <w:szCs w:val="22"/>
        </w:rPr>
        <w:t>This unit involves the skills and knowledge required to apply fatigue management strategies, including identifying and acting upon signs of fatigue and implementing appropriate strategies to minimise fatigue during work activities.</w:t>
      </w:r>
    </w:p>
    <w:p w:rsidR="00441B1E" w:rsidRPr="0051428F" w:rsidRDefault="00441B1E" w:rsidP="00461DD1">
      <w:pPr>
        <w:pStyle w:val="BodyText2"/>
        <w:rPr>
          <w:b w:val="0"/>
          <w:sz w:val="22"/>
          <w:szCs w:val="22"/>
        </w:rPr>
      </w:pPr>
    </w:p>
    <w:p w:rsidR="00441B1E" w:rsidRPr="0051428F" w:rsidRDefault="00461DD1" w:rsidP="00461DD1">
      <w:pPr>
        <w:rPr>
          <w:rFonts w:ascii="Arial" w:hAnsi="Arial" w:cs="Arial"/>
          <w:b/>
          <w:bCs/>
          <w:sz w:val="22"/>
          <w:szCs w:val="22"/>
        </w:rPr>
      </w:pPr>
      <w:r w:rsidRPr="0051428F">
        <w:rPr>
          <w:rFonts w:ascii="Arial" w:hAnsi="Arial" w:cs="Arial"/>
          <w:b/>
          <w:bCs/>
          <w:sz w:val="22"/>
          <w:szCs w:val="22"/>
        </w:rPr>
        <w:t>Application o</w:t>
      </w:r>
      <w:r w:rsidR="00441B1E" w:rsidRPr="0051428F">
        <w:rPr>
          <w:rFonts w:ascii="Arial" w:hAnsi="Arial" w:cs="Arial"/>
          <w:b/>
          <w:bCs/>
          <w:sz w:val="22"/>
          <w:szCs w:val="22"/>
        </w:rPr>
        <w:t>f Unit</w:t>
      </w:r>
    </w:p>
    <w:p w:rsidR="00441B1E" w:rsidRPr="0051428F" w:rsidRDefault="00441B1E" w:rsidP="00461DD1">
      <w:pPr>
        <w:pStyle w:val="BodyText2"/>
        <w:rPr>
          <w:b w:val="0"/>
          <w:sz w:val="22"/>
          <w:szCs w:val="22"/>
        </w:rPr>
      </w:pPr>
      <w:r w:rsidRPr="0051428F">
        <w:rPr>
          <w:b w:val="0"/>
          <w:sz w:val="22"/>
          <w:szCs w:val="22"/>
        </w:rPr>
        <w:t>Persons achieving competence in this unit will need to fulfil the applicable Commonwealth and state/territory legislation and relevant regulations covering the management of fatigue in the workplace.</w:t>
      </w:r>
    </w:p>
    <w:p w:rsidR="00907D8F" w:rsidRPr="0051428F" w:rsidRDefault="00907D8F" w:rsidP="00461DD1">
      <w:pPr>
        <w:pStyle w:val="BodyText2"/>
        <w:rPr>
          <w:b w:val="0"/>
          <w:sz w:val="22"/>
          <w:szCs w:val="22"/>
        </w:rPr>
      </w:pPr>
    </w:p>
    <w:p w:rsidR="00441B1E" w:rsidRPr="0051428F" w:rsidRDefault="00441B1E" w:rsidP="00461DD1">
      <w:pPr>
        <w:pStyle w:val="BodyText2"/>
        <w:rPr>
          <w:b w:val="0"/>
          <w:sz w:val="22"/>
          <w:szCs w:val="22"/>
        </w:rPr>
      </w:pPr>
      <w:r w:rsidRPr="0051428F">
        <w:rPr>
          <w:b w:val="0"/>
          <w:sz w:val="22"/>
          <w:szCs w:val="22"/>
        </w:rPr>
        <w:t>Work is performed under some supervision generally within a team environment.</w:t>
      </w:r>
      <w:r w:rsidR="00907D8F" w:rsidRPr="0051428F">
        <w:rPr>
          <w:b w:val="0"/>
          <w:sz w:val="22"/>
          <w:szCs w:val="22"/>
        </w:rPr>
        <w:t xml:space="preserve"> </w:t>
      </w:r>
      <w:r w:rsidRPr="0051428F">
        <w:rPr>
          <w:b w:val="0"/>
          <w:sz w:val="22"/>
          <w:szCs w:val="22"/>
        </w:rPr>
        <w:t xml:space="preserve">It involves the application of the relevant regulations, codes and guidelines of the Commonwealth Government and the state/territory authorities concerning fatigue management during work activities and in particular when operating equipment, vehicles, load shifting equipment, trains, marine vessels and aircraft. </w:t>
      </w:r>
    </w:p>
    <w:p w:rsidR="009B17F7" w:rsidRPr="0051428F" w:rsidRDefault="009B17F7" w:rsidP="00461DD1">
      <w:pPr>
        <w:pStyle w:val="BodyText2"/>
        <w:rPr>
          <w:b w:val="0"/>
          <w:sz w:val="22"/>
          <w:szCs w:val="22"/>
        </w:rPr>
      </w:pPr>
    </w:p>
    <w:p w:rsidR="00833CC8" w:rsidRPr="0051428F" w:rsidRDefault="0051428F" w:rsidP="00461DD1">
      <w:pPr>
        <w:pStyle w:val="BodyText2"/>
        <w:rPr>
          <w:b w:val="0"/>
          <w:i/>
          <w:sz w:val="22"/>
          <w:szCs w:val="22"/>
        </w:rPr>
      </w:pPr>
      <w:r>
        <w:rPr>
          <w:b w:val="0"/>
          <w:i/>
          <w:sz w:val="22"/>
          <w:szCs w:val="22"/>
        </w:rPr>
        <w:t>This unit is TLIF</w:t>
      </w:r>
      <w:r w:rsidR="00EE3B18">
        <w:rPr>
          <w:b w:val="0"/>
          <w:i/>
          <w:sz w:val="22"/>
          <w:szCs w:val="22"/>
        </w:rPr>
        <w:t>2010A</w:t>
      </w:r>
      <w:r>
        <w:rPr>
          <w:b w:val="0"/>
          <w:i/>
          <w:sz w:val="22"/>
          <w:szCs w:val="22"/>
        </w:rPr>
        <w:t xml:space="preserve"> </w:t>
      </w:r>
      <w:r w:rsidR="00833CC8" w:rsidRPr="0051428F">
        <w:rPr>
          <w:b w:val="0"/>
          <w:i/>
          <w:sz w:val="22"/>
          <w:szCs w:val="22"/>
        </w:rPr>
        <w:t>from the Transport and Logistics package</w:t>
      </w:r>
      <w:r w:rsidR="00461DD1" w:rsidRPr="0051428F">
        <w:rPr>
          <w:b w:val="0"/>
          <w:i/>
          <w:sz w:val="22"/>
          <w:szCs w:val="22"/>
        </w:rPr>
        <w:t>.</w:t>
      </w:r>
    </w:p>
    <w:p w:rsidR="00A17864" w:rsidRPr="0051428F" w:rsidRDefault="00A17864" w:rsidP="00461DD1">
      <w:pPr>
        <w:rPr>
          <w:rFonts w:ascii="Arial" w:hAnsi="Arial" w:cs="Arial"/>
          <w:bCs/>
          <w:sz w:val="22"/>
          <w:szCs w:val="22"/>
        </w:rPr>
      </w:pPr>
    </w:p>
    <w:p w:rsidR="00A17864" w:rsidRPr="0051428F" w:rsidRDefault="00461DD1" w:rsidP="00461DD1">
      <w:pPr>
        <w:rPr>
          <w:rFonts w:ascii="Arial" w:hAnsi="Arial" w:cs="Arial"/>
          <w:b/>
          <w:bCs/>
          <w:sz w:val="22"/>
          <w:szCs w:val="22"/>
        </w:rPr>
      </w:pPr>
      <w:r w:rsidRPr="0051428F">
        <w:rPr>
          <w:rFonts w:ascii="Arial" w:hAnsi="Arial" w:cs="Arial"/>
          <w:b/>
          <w:bCs/>
          <w:sz w:val="22"/>
          <w:szCs w:val="22"/>
        </w:rPr>
        <w:t>Competency Field –</w:t>
      </w:r>
      <w:r w:rsidR="00A17864" w:rsidRPr="0051428F">
        <w:rPr>
          <w:rFonts w:ascii="Arial" w:hAnsi="Arial" w:cs="Arial"/>
          <w:b/>
          <w:bCs/>
          <w:sz w:val="22"/>
          <w:szCs w:val="22"/>
        </w:rPr>
        <w:t xml:space="preserv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734"/>
      </w:tblGrid>
      <w:tr w:rsidR="0051428F" w:rsidRPr="0051428F" w:rsidTr="0051428F">
        <w:tc>
          <w:tcPr>
            <w:tcW w:w="0" w:type="auto"/>
            <w:shd w:val="clear" w:color="auto" w:fill="E0E0E0"/>
          </w:tcPr>
          <w:p w:rsidR="00A17864" w:rsidRPr="0051428F" w:rsidRDefault="00A17864" w:rsidP="00461DD1">
            <w:pPr>
              <w:rPr>
                <w:rFonts w:ascii="Arial" w:hAnsi="Arial" w:cs="Arial"/>
                <w:b/>
                <w:sz w:val="22"/>
                <w:szCs w:val="22"/>
              </w:rPr>
            </w:pPr>
            <w:r w:rsidRPr="0051428F">
              <w:rPr>
                <w:rFonts w:ascii="Arial" w:hAnsi="Arial" w:cs="Arial"/>
                <w:b/>
                <w:sz w:val="22"/>
                <w:szCs w:val="22"/>
              </w:rPr>
              <w:t>Element</w:t>
            </w:r>
          </w:p>
        </w:tc>
        <w:tc>
          <w:tcPr>
            <w:tcW w:w="0" w:type="auto"/>
            <w:shd w:val="clear" w:color="auto" w:fill="E0E0E0"/>
          </w:tcPr>
          <w:p w:rsidR="00A17864" w:rsidRPr="0051428F" w:rsidRDefault="00A17864" w:rsidP="00461DD1">
            <w:pPr>
              <w:rPr>
                <w:rFonts w:ascii="Arial" w:hAnsi="Arial" w:cs="Arial"/>
                <w:b/>
                <w:sz w:val="22"/>
                <w:szCs w:val="22"/>
              </w:rPr>
            </w:pPr>
            <w:r w:rsidRPr="0051428F">
              <w:rPr>
                <w:rFonts w:ascii="Arial" w:hAnsi="Arial" w:cs="Arial"/>
                <w:b/>
                <w:sz w:val="22"/>
                <w:szCs w:val="22"/>
              </w:rPr>
              <w:t>Performance Criteria</w:t>
            </w:r>
          </w:p>
        </w:tc>
      </w:tr>
      <w:tr w:rsidR="0051428F" w:rsidRPr="0051428F" w:rsidTr="0051428F">
        <w:tc>
          <w:tcPr>
            <w:tcW w:w="0" w:type="auto"/>
          </w:tcPr>
          <w:p w:rsidR="00A17864" w:rsidRPr="0051428F" w:rsidRDefault="00441B1E" w:rsidP="00461DD1">
            <w:pPr>
              <w:widowControl w:val="0"/>
              <w:numPr>
                <w:ilvl w:val="0"/>
                <w:numId w:val="8"/>
              </w:numPr>
              <w:autoSpaceDE w:val="0"/>
              <w:autoSpaceDN w:val="0"/>
              <w:ind w:right="68"/>
              <w:rPr>
                <w:rFonts w:ascii="Arial" w:hAnsi="Arial" w:cs="Arial"/>
                <w:bCs/>
                <w:sz w:val="22"/>
                <w:szCs w:val="22"/>
              </w:rPr>
            </w:pPr>
            <w:r w:rsidRPr="0051428F">
              <w:rPr>
                <w:rFonts w:ascii="Arial" w:hAnsi="Arial" w:cs="Arial"/>
                <w:sz w:val="22"/>
                <w:szCs w:val="22"/>
              </w:rPr>
              <w:t>Identify and act upon signs of fatigue</w:t>
            </w:r>
            <w:r w:rsidR="00461DD1" w:rsidRPr="0051428F">
              <w:rPr>
                <w:rFonts w:ascii="Arial" w:hAnsi="Arial" w:cs="Arial"/>
                <w:sz w:val="22"/>
                <w:szCs w:val="22"/>
              </w:rPr>
              <w:t>.</w:t>
            </w:r>
          </w:p>
        </w:tc>
        <w:tc>
          <w:tcPr>
            <w:tcW w:w="0" w:type="auto"/>
          </w:tcPr>
          <w:p w:rsidR="009B17F7"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Potential causes of fatigue are monitored and action taken to minimise their effects in accordance with company procedures </w:t>
            </w:r>
          </w:p>
          <w:p w:rsidR="00A17864" w:rsidRPr="0051428F" w:rsidRDefault="00441B1E" w:rsidP="00461DD1">
            <w:pPr>
              <w:numPr>
                <w:ilvl w:val="1"/>
                <w:numId w:val="8"/>
              </w:numPr>
              <w:rPr>
                <w:rFonts w:ascii="Arial" w:hAnsi="Arial" w:cs="Arial"/>
                <w:sz w:val="22"/>
                <w:szCs w:val="22"/>
              </w:rPr>
            </w:pPr>
            <w:r w:rsidRPr="0051428F">
              <w:rPr>
                <w:rFonts w:ascii="Arial" w:hAnsi="Arial" w:cs="Arial"/>
                <w:sz w:val="22"/>
                <w:szCs w:val="22"/>
              </w:rPr>
              <w:t>Personal warning signs of fatigue are recognised and necessary steps are taken in accordance with workplace procedures to ensure that effective work capability and alertness are maintained</w:t>
            </w:r>
          </w:p>
        </w:tc>
      </w:tr>
      <w:tr w:rsidR="0051428F" w:rsidRPr="0051428F" w:rsidTr="0051428F">
        <w:tc>
          <w:tcPr>
            <w:tcW w:w="0" w:type="auto"/>
          </w:tcPr>
          <w:p w:rsidR="00A17864" w:rsidRPr="0051428F" w:rsidRDefault="00441B1E" w:rsidP="00461DD1">
            <w:pPr>
              <w:widowControl w:val="0"/>
              <w:numPr>
                <w:ilvl w:val="0"/>
                <w:numId w:val="8"/>
              </w:numPr>
              <w:autoSpaceDE w:val="0"/>
              <w:autoSpaceDN w:val="0"/>
              <w:ind w:right="68"/>
              <w:rPr>
                <w:rFonts w:ascii="Arial" w:hAnsi="Arial" w:cs="Arial"/>
                <w:bCs/>
                <w:sz w:val="22"/>
                <w:szCs w:val="22"/>
              </w:rPr>
            </w:pPr>
            <w:r w:rsidRPr="0051428F">
              <w:rPr>
                <w:rFonts w:ascii="Arial" w:hAnsi="Arial" w:cs="Arial"/>
                <w:bCs/>
                <w:sz w:val="22"/>
                <w:szCs w:val="22"/>
              </w:rPr>
              <w:t>Implement strategies to minimise fatigue</w:t>
            </w:r>
          </w:p>
        </w:tc>
        <w:tc>
          <w:tcPr>
            <w:tcW w:w="0" w:type="auto"/>
          </w:tcPr>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Routes and schedules are assessed and planned to minimise fatigue </w:t>
            </w:r>
          </w:p>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Factors which increase the risk of fatigue-related accidents and safety incidents are understood and minimised </w:t>
            </w:r>
          </w:p>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Strategies to manage fatigue are implemented in accordance with company policy </w:t>
            </w:r>
          </w:p>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Lifestyle choices are made which promote the effective long-term management of fatigue </w:t>
            </w:r>
          </w:p>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 xml:space="preserve">Effective practices in combating fatigue are adopted and applied </w:t>
            </w:r>
          </w:p>
          <w:p w:rsidR="00441B1E" w:rsidRPr="0051428F" w:rsidRDefault="00441B1E" w:rsidP="00461DD1">
            <w:pPr>
              <w:numPr>
                <w:ilvl w:val="1"/>
                <w:numId w:val="8"/>
              </w:numPr>
              <w:rPr>
                <w:rFonts w:ascii="Arial" w:hAnsi="Arial" w:cs="Arial"/>
                <w:sz w:val="22"/>
                <w:szCs w:val="22"/>
              </w:rPr>
            </w:pPr>
            <w:r w:rsidRPr="0051428F">
              <w:rPr>
                <w:rFonts w:ascii="Arial" w:hAnsi="Arial" w:cs="Arial"/>
                <w:sz w:val="22"/>
                <w:szCs w:val="22"/>
              </w:rPr>
              <w:t>Personal fatigue management strategies are communicated to other relevant people</w:t>
            </w:r>
          </w:p>
          <w:p w:rsidR="00A17864" w:rsidRPr="0051428F" w:rsidRDefault="00441B1E" w:rsidP="00461DD1">
            <w:pPr>
              <w:numPr>
                <w:ilvl w:val="1"/>
                <w:numId w:val="8"/>
              </w:numPr>
              <w:rPr>
                <w:rFonts w:ascii="Arial" w:hAnsi="Arial" w:cs="Arial"/>
                <w:sz w:val="22"/>
                <w:szCs w:val="22"/>
              </w:rPr>
            </w:pPr>
            <w:r w:rsidRPr="0051428F">
              <w:rPr>
                <w:rFonts w:ascii="Arial" w:hAnsi="Arial" w:cs="Arial"/>
                <w:sz w:val="22"/>
                <w:szCs w:val="22"/>
              </w:rPr>
              <w:t>Appropriate counter measures are planned to combat fatigue</w:t>
            </w:r>
          </w:p>
        </w:tc>
      </w:tr>
    </w:tbl>
    <w:p w:rsidR="00A17864" w:rsidRPr="0051428F" w:rsidRDefault="00A17864" w:rsidP="00461DD1">
      <w:pPr>
        <w:rPr>
          <w:rFonts w:ascii="Arial" w:hAnsi="Arial" w:cs="Arial"/>
          <w:sz w:val="22"/>
          <w:szCs w:val="22"/>
        </w:rPr>
      </w:pPr>
    </w:p>
    <w:p w:rsidR="00A17864" w:rsidRPr="0051428F" w:rsidRDefault="00A17864" w:rsidP="00461DD1">
      <w:pPr>
        <w:rPr>
          <w:rFonts w:ascii="Arial" w:hAnsi="Arial" w:cs="Arial"/>
          <w:b/>
          <w:bCs/>
          <w:sz w:val="22"/>
          <w:szCs w:val="22"/>
        </w:rPr>
      </w:pPr>
      <w:r w:rsidRPr="0051428F">
        <w:rPr>
          <w:rFonts w:ascii="Arial" w:hAnsi="Arial" w:cs="Arial"/>
          <w:b/>
          <w:bCs/>
          <w:sz w:val="22"/>
          <w:szCs w:val="22"/>
        </w:rPr>
        <w:t>Required Knowledge and Skills</w:t>
      </w:r>
    </w:p>
    <w:p w:rsidR="0051428F" w:rsidRDefault="0051428F" w:rsidP="00461DD1">
      <w:pPr>
        <w:rPr>
          <w:rFonts w:ascii="Arial" w:hAnsi="Arial" w:cs="Arial"/>
          <w:b/>
          <w:bCs/>
          <w:sz w:val="22"/>
          <w:szCs w:val="22"/>
        </w:rPr>
      </w:pPr>
    </w:p>
    <w:p w:rsidR="00A17864" w:rsidRPr="0051428F" w:rsidRDefault="00A17864" w:rsidP="00461DD1">
      <w:pPr>
        <w:rPr>
          <w:rFonts w:ascii="Arial" w:hAnsi="Arial" w:cs="Arial"/>
          <w:b/>
          <w:bCs/>
          <w:sz w:val="22"/>
          <w:szCs w:val="22"/>
        </w:rPr>
      </w:pPr>
      <w:r w:rsidRPr="0051428F">
        <w:rPr>
          <w:rFonts w:ascii="Arial" w:hAnsi="Arial" w:cs="Arial"/>
          <w:b/>
          <w:bCs/>
          <w:sz w:val="22"/>
          <w:szCs w:val="22"/>
        </w:rPr>
        <w:t>Knowledge:</w:t>
      </w:r>
    </w:p>
    <w:p w:rsidR="00A37856" w:rsidRPr="0051428F" w:rsidRDefault="0051428F"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 xml:space="preserve">WI 76.01.01 – </w:t>
      </w:r>
      <w:r w:rsidR="00A37856" w:rsidRPr="0051428F">
        <w:rPr>
          <w:rFonts w:ascii="Arial" w:hAnsi="Arial" w:cs="Arial"/>
          <w:sz w:val="22"/>
          <w:szCs w:val="22"/>
        </w:rPr>
        <w:t xml:space="preserve">Managing Fatigue for </w:t>
      </w:r>
      <w:r w:rsidRPr="0051428F">
        <w:rPr>
          <w:rFonts w:ascii="Arial" w:hAnsi="Arial" w:cs="Arial"/>
          <w:sz w:val="22"/>
          <w:szCs w:val="22"/>
        </w:rPr>
        <w:t>Heavy Vehicle Operators</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Relevant codes, regulations, permit and licence requirements related to fatigue management</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 xml:space="preserve">Relevant </w:t>
      </w:r>
      <w:r w:rsidR="00120E4C" w:rsidRPr="0051428F">
        <w:rPr>
          <w:rFonts w:ascii="Arial" w:hAnsi="Arial" w:cs="Arial"/>
          <w:sz w:val="22"/>
          <w:szCs w:val="22"/>
        </w:rPr>
        <w:t xml:space="preserve">WHS </w:t>
      </w:r>
      <w:r w:rsidRPr="0051428F">
        <w:rPr>
          <w:rFonts w:ascii="Arial" w:hAnsi="Arial" w:cs="Arial"/>
          <w:sz w:val="22"/>
          <w:szCs w:val="22"/>
        </w:rPr>
        <w:t>regulations as they relate to fatigue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Workplace policies and procedures related to fatigue management and the control of factors that can contribute to fatigue and fatigue-related accidents</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Sources of information on fatigue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The risks and hazards created by fatigue in the workplace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How fatigue affects workplace performance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lastRenderedPageBreak/>
        <w:t>How fatigue contributes to workplace accidents</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Ways of recognising fatigue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Strategies and ways of managing fatigue</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Causes and effects of fatigue on workers/drivers</w:t>
      </w:r>
    </w:p>
    <w:p w:rsidR="00441B1E"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Factors which increase fatigue-related accidents</w:t>
      </w:r>
    </w:p>
    <w:p w:rsidR="00A17864" w:rsidRPr="0051428F" w:rsidRDefault="00441B1E" w:rsidP="0051428F">
      <w:pPr>
        <w:pStyle w:val="ListParagraph"/>
        <w:widowControl w:val="0"/>
        <w:numPr>
          <w:ilvl w:val="0"/>
          <w:numId w:val="14"/>
        </w:numPr>
        <w:autoSpaceDE w:val="0"/>
        <w:autoSpaceDN w:val="0"/>
        <w:ind w:right="68"/>
        <w:rPr>
          <w:rFonts w:ascii="Arial" w:hAnsi="Arial" w:cs="Arial"/>
          <w:sz w:val="22"/>
          <w:szCs w:val="22"/>
        </w:rPr>
      </w:pPr>
      <w:r w:rsidRPr="0051428F">
        <w:rPr>
          <w:rFonts w:ascii="Arial" w:hAnsi="Arial" w:cs="Arial"/>
          <w:sz w:val="22"/>
          <w:szCs w:val="22"/>
        </w:rPr>
        <w:t>Lifestyles which promote the effective long-term management of fatigue</w:t>
      </w:r>
      <w:r w:rsidR="009B17F7" w:rsidRPr="0051428F">
        <w:rPr>
          <w:rFonts w:ascii="Arial" w:hAnsi="Arial" w:cs="Arial"/>
          <w:sz w:val="22"/>
          <w:szCs w:val="22"/>
        </w:rPr>
        <w:t xml:space="preserve"> </w:t>
      </w:r>
    </w:p>
    <w:p w:rsidR="00A17864" w:rsidRPr="0051428F" w:rsidRDefault="00A17864" w:rsidP="00461DD1">
      <w:pPr>
        <w:widowControl w:val="0"/>
        <w:autoSpaceDE w:val="0"/>
        <w:autoSpaceDN w:val="0"/>
        <w:ind w:right="68"/>
        <w:rPr>
          <w:rFonts w:ascii="Arial" w:hAnsi="Arial" w:cs="Arial"/>
          <w:sz w:val="22"/>
          <w:szCs w:val="22"/>
        </w:rPr>
      </w:pPr>
    </w:p>
    <w:p w:rsidR="00A17864" w:rsidRPr="0051428F" w:rsidRDefault="00A17864" w:rsidP="00461DD1">
      <w:pPr>
        <w:rPr>
          <w:rFonts w:ascii="Arial" w:hAnsi="Arial" w:cs="Arial"/>
          <w:b/>
          <w:bCs/>
          <w:sz w:val="22"/>
          <w:szCs w:val="22"/>
        </w:rPr>
      </w:pPr>
      <w:r w:rsidRPr="0051428F">
        <w:rPr>
          <w:rFonts w:ascii="Arial" w:hAnsi="Arial" w:cs="Arial"/>
          <w:b/>
          <w:bCs/>
          <w:sz w:val="22"/>
          <w:szCs w:val="22"/>
        </w:rPr>
        <w:t>Skills: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Communicate effectively with others when applying fatigue management strategies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Read and interpret instructions, procedures, regulations and signs related to fatigue management and apply them to work activities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Recognise symptoms of fatigue and take appropriate action in accordance with fatigue management regulations and workplace procedures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Work collaboratively with others to manage and minimise the effects of fatigue during work activities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Adjust lifestyle patterns to ensure effective fatigue management during work activities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Modify activities and take appropriate initiatives to manage fatigue in the workplace depending on differing work contexts, risk situations and environments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Apply precautions and required action to minimise and control the effects of fatigue when carrying out own work functions</w:t>
      </w:r>
    </w:p>
    <w:p w:rsidR="00441B1E" w:rsidRPr="0051428F" w:rsidRDefault="00441B1E" w:rsidP="0051428F">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Adapt to changes in rosters and standard operating procedures as they may relate to fatigue management</w:t>
      </w:r>
    </w:p>
    <w:p w:rsidR="00A17864" w:rsidRPr="0051428F" w:rsidRDefault="00441B1E" w:rsidP="00461DD1">
      <w:pPr>
        <w:pStyle w:val="ListParagraph"/>
        <w:widowControl w:val="0"/>
        <w:numPr>
          <w:ilvl w:val="0"/>
          <w:numId w:val="15"/>
        </w:numPr>
        <w:autoSpaceDE w:val="0"/>
        <w:autoSpaceDN w:val="0"/>
        <w:ind w:right="68"/>
        <w:rPr>
          <w:rFonts w:ascii="Arial" w:hAnsi="Arial" w:cs="Arial"/>
          <w:sz w:val="22"/>
          <w:szCs w:val="22"/>
        </w:rPr>
      </w:pPr>
      <w:r w:rsidRPr="0051428F">
        <w:rPr>
          <w:rFonts w:ascii="Arial" w:hAnsi="Arial" w:cs="Arial"/>
          <w:sz w:val="22"/>
          <w:szCs w:val="22"/>
        </w:rPr>
        <w:t>Participate in identifying and meeting own learning needs on matters related to fatigue management</w:t>
      </w:r>
      <w:r w:rsidR="0051428F">
        <w:rPr>
          <w:rFonts w:ascii="Arial" w:hAnsi="Arial" w:cs="Arial"/>
          <w:sz w:val="22"/>
          <w:szCs w:val="22"/>
        </w:rPr>
        <w:t>.</w:t>
      </w:r>
    </w:p>
    <w:tbl>
      <w:tblPr>
        <w:tblpPr w:leftFromText="180" w:rightFromText="180" w:vertAnchor="text" w:tblpXSpec="center" w:tblpY="853"/>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99"/>
        <w:gridCol w:w="1186"/>
        <w:gridCol w:w="3303"/>
      </w:tblGrid>
      <w:tr w:rsidR="0051428F" w:rsidRPr="0051428F" w:rsidTr="0051428F">
        <w:tc>
          <w:tcPr>
            <w:tcW w:w="0" w:type="auto"/>
            <w:shd w:val="clear" w:color="auto" w:fill="000000"/>
            <w:vAlign w:val="center"/>
          </w:tcPr>
          <w:p w:rsidR="0051428F" w:rsidRPr="0051428F" w:rsidRDefault="0051428F" w:rsidP="0051428F">
            <w:pPr>
              <w:rPr>
                <w:rFonts w:ascii="Arial" w:hAnsi="Arial" w:cs="Arial"/>
                <w:sz w:val="16"/>
                <w:szCs w:val="16"/>
              </w:rPr>
            </w:pPr>
            <w:r w:rsidRPr="0051428F">
              <w:rPr>
                <w:rFonts w:ascii="Arial" w:hAnsi="Arial" w:cs="Arial"/>
                <w:sz w:val="16"/>
                <w:szCs w:val="16"/>
              </w:rPr>
              <w:t>Issue</w:t>
            </w:r>
          </w:p>
        </w:tc>
        <w:tc>
          <w:tcPr>
            <w:tcW w:w="0" w:type="auto"/>
            <w:shd w:val="clear" w:color="auto" w:fill="000000"/>
            <w:vAlign w:val="center"/>
          </w:tcPr>
          <w:p w:rsidR="0051428F" w:rsidRPr="0051428F" w:rsidRDefault="0051428F" w:rsidP="0051428F">
            <w:pPr>
              <w:jc w:val="center"/>
              <w:rPr>
                <w:rFonts w:ascii="Arial" w:hAnsi="Arial" w:cs="Arial"/>
                <w:sz w:val="16"/>
                <w:szCs w:val="16"/>
              </w:rPr>
            </w:pPr>
            <w:r w:rsidRPr="0051428F">
              <w:rPr>
                <w:rFonts w:ascii="Arial" w:hAnsi="Arial" w:cs="Arial"/>
                <w:sz w:val="16"/>
                <w:szCs w:val="16"/>
              </w:rPr>
              <w:t>Release Date</w:t>
            </w:r>
          </w:p>
        </w:tc>
        <w:tc>
          <w:tcPr>
            <w:tcW w:w="0" w:type="auto"/>
            <w:shd w:val="clear" w:color="auto" w:fill="000000"/>
            <w:vAlign w:val="center"/>
          </w:tcPr>
          <w:p w:rsidR="0051428F" w:rsidRPr="0051428F" w:rsidRDefault="0051428F" w:rsidP="0051428F">
            <w:pPr>
              <w:jc w:val="center"/>
              <w:rPr>
                <w:rFonts w:ascii="Arial" w:hAnsi="Arial" w:cs="Arial"/>
                <w:sz w:val="16"/>
                <w:szCs w:val="16"/>
              </w:rPr>
            </w:pPr>
            <w:r w:rsidRPr="0051428F">
              <w:rPr>
                <w:rFonts w:ascii="Arial" w:hAnsi="Arial" w:cs="Arial"/>
                <w:sz w:val="16"/>
                <w:szCs w:val="16"/>
              </w:rPr>
              <w:t>Summary of Changes</w:t>
            </w:r>
          </w:p>
        </w:tc>
      </w:tr>
      <w:tr w:rsidR="00EE3B18" w:rsidRPr="0051428F" w:rsidTr="0051428F">
        <w:tc>
          <w:tcPr>
            <w:tcW w:w="0" w:type="auto"/>
          </w:tcPr>
          <w:p w:rsidR="00EE3B18" w:rsidRPr="0051428F" w:rsidRDefault="00EE3B18" w:rsidP="0051428F">
            <w:pPr>
              <w:jc w:val="center"/>
              <w:rPr>
                <w:rFonts w:ascii="Arial" w:hAnsi="Arial" w:cs="Arial"/>
                <w:sz w:val="16"/>
                <w:szCs w:val="16"/>
              </w:rPr>
            </w:pPr>
            <w:r>
              <w:rPr>
                <w:rFonts w:ascii="Arial" w:hAnsi="Arial" w:cs="Arial"/>
                <w:sz w:val="16"/>
                <w:szCs w:val="16"/>
              </w:rPr>
              <w:t>4</w:t>
            </w:r>
          </w:p>
        </w:tc>
        <w:tc>
          <w:tcPr>
            <w:tcW w:w="0" w:type="auto"/>
          </w:tcPr>
          <w:p w:rsidR="00EE3B18" w:rsidRPr="0051428F" w:rsidRDefault="00EE3B18" w:rsidP="0051428F">
            <w:pPr>
              <w:jc w:val="center"/>
              <w:rPr>
                <w:rFonts w:ascii="Arial" w:hAnsi="Arial" w:cs="Arial"/>
                <w:sz w:val="16"/>
                <w:szCs w:val="16"/>
              </w:rPr>
            </w:pPr>
            <w:r>
              <w:rPr>
                <w:rFonts w:ascii="Arial" w:hAnsi="Arial" w:cs="Arial"/>
                <w:sz w:val="16"/>
                <w:szCs w:val="16"/>
              </w:rPr>
              <w:t>August 2015</w:t>
            </w:r>
          </w:p>
        </w:tc>
        <w:tc>
          <w:tcPr>
            <w:tcW w:w="0" w:type="auto"/>
          </w:tcPr>
          <w:p w:rsidR="00EE3B18" w:rsidRPr="0051428F" w:rsidRDefault="00EE3B18" w:rsidP="0051428F">
            <w:pPr>
              <w:jc w:val="center"/>
              <w:rPr>
                <w:rFonts w:ascii="Arial" w:hAnsi="Arial" w:cs="Arial"/>
                <w:sz w:val="16"/>
                <w:szCs w:val="16"/>
              </w:rPr>
            </w:pPr>
            <w:r>
              <w:rPr>
                <w:rFonts w:ascii="Arial" w:hAnsi="Arial" w:cs="Arial"/>
                <w:sz w:val="16"/>
                <w:szCs w:val="16"/>
              </w:rPr>
              <w:t>National competency unit number changed.</w:t>
            </w:r>
          </w:p>
        </w:tc>
      </w:tr>
      <w:tr w:rsidR="0051428F" w:rsidRPr="0051428F" w:rsidTr="0051428F">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3</w:t>
            </w:r>
          </w:p>
        </w:tc>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May 2015</w:t>
            </w:r>
          </w:p>
        </w:tc>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Revised</w:t>
            </w:r>
            <w:r>
              <w:rPr>
                <w:rFonts w:ascii="Arial" w:hAnsi="Arial" w:cs="Arial"/>
                <w:sz w:val="16"/>
                <w:szCs w:val="16"/>
              </w:rPr>
              <w:t xml:space="preserve"> with minor updates</w:t>
            </w:r>
            <w:r w:rsidR="00EE3B18">
              <w:rPr>
                <w:rFonts w:ascii="Arial" w:hAnsi="Arial" w:cs="Arial"/>
                <w:sz w:val="16"/>
                <w:szCs w:val="16"/>
              </w:rPr>
              <w:t>.</w:t>
            </w:r>
          </w:p>
        </w:tc>
      </w:tr>
      <w:tr w:rsidR="0051428F" w:rsidRPr="0051428F" w:rsidTr="0051428F">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2</w:t>
            </w:r>
          </w:p>
        </w:tc>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July 2012</w:t>
            </w:r>
          </w:p>
        </w:tc>
        <w:tc>
          <w:tcPr>
            <w:tcW w:w="0" w:type="auto"/>
          </w:tcPr>
          <w:p w:rsidR="0051428F" w:rsidRPr="0051428F" w:rsidRDefault="0051428F" w:rsidP="0051428F">
            <w:pPr>
              <w:jc w:val="center"/>
              <w:rPr>
                <w:rFonts w:ascii="Arial" w:hAnsi="Arial" w:cs="Arial"/>
                <w:sz w:val="16"/>
                <w:szCs w:val="16"/>
              </w:rPr>
            </w:pPr>
            <w:r w:rsidRPr="0051428F">
              <w:rPr>
                <w:rFonts w:ascii="Arial" w:hAnsi="Arial" w:cs="Arial"/>
                <w:sz w:val="16"/>
                <w:szCs w:val="16"/>
              </w:rPr>
              <w:t>Minor update with formatting changes</w:t>
            </w:r>
            <w:r w:rsidR="00EE3B18">
              <w:rPr>
                <w:rFonts w:ascii="Arial" w:hAnsi="Arial" w:cs="Arial"/>
                <w:sz w:val="16"/>
                <w:szCs w:val="16"/>
              </w:rPr>
              <w:t>.</w:t>
            </w:r>
          </w:p>
        </w:tc>
      </w:tr>
    </w:tbl>
    <w:p w:rsidR="00A17864" w:rsidRPr="0051428F" w:rsidRDefault="00A17864" w:rsidP="00461DD1">
      <w:pPr>
        <w:rPr>
          <w:rFonts w:ascii="Arial" w:hAnsi="Arial" w:cs="Arial"/>
          <w:sz w:val="22"/>
          <w:szCs w:val="22"/>
        </w:rPr>
      </w:pPr>
    </w:p>
    <w:sectPr w:rsidR="00A17864" w:rsidRPr="0051428F" w:rsidSect="005142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87" w:rsidRDefault="00737D87">
      <w:r>
        <w:separator/>
      </w:r>
    </w:p>
  </w:endnote>
  <w:endnote w:type="continuationSeparator" w:id="0">
    <w:p w:rsidR="00737D87" w:rsidRDefault="0073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A2" w:rsidRPr="00120E4C" w:rsidRDefault="000340A2" w:rsidP="0051428F">
    <w:pPr>
      <w:pStyle w:val="Footer"/>
      <w:tabs>
        <w:tab w:val="clear" w:pos="4153"/>
        <w:tab w:val="clear" w:pos="8306"/>
        <w:tab w:val="center" w:pos="4536"/>
        <w:tab w:val="right" w:pos="8931"/>
      </w:tabs>
      <w:rPr>
        <w:rFonts w:ascii="Arial" w:hAnsi="Arial" w:cs="Arial"/>
        <w:sz w:val="16"/>
        <w:szCs w:val="16"/>
        <w:lang w:val="en-US"/>
      </w:rPr>
    </w:pPr>
    <w:r w:rsidRPr="00120E4C">
      <w:rPr>
        <w:rFonts w:ascii="Arial" w:hAnsi="Arial" w:cs="Arial"/>
        <w:sz w:val="16"/>
        <w:szCs w:val="16"/>
        <w:lang w:val="en-US"/>
      </w:rPr>
      <w:t xml:space="preserve">Date of Issue: </w:t>
    </w:r>
    <w:r w:rsidR="00EE3B18">
      <w:rPr>
        <w:rFonts w:ascii="Arial" w:hAnsi="Arial" w:cs="Arial"/>
        <w:sz w:val="16"/>
        <w:szCs w:val="16"/>
        <w:lang w:val="en-US"/>
      </w:rPr>
      <w:t>August</w:t>
    </w:r>
    <w:r w:rsidRPr="00120E4C">
      <w:rPr>
        <w:rFonts w:ascii="Arial" w:hAnsi="Arial" w:cs="Arial"/>
        <w:sz w:val="16"/>
        <w:szCs w:val="16"/>
        <w:lang w:val="en-US"/>
      </w:rPr>
      <w:t xml:space="preserve"> 201</w:t>
    </w:r>
    <w:r w:rsidR="0051428F">
      <w:rPr>
        <w:rFonts w:ascii="Arial" w:hAnsi="Arial" w:cs="Arial"/>
        <w:sz w:val="16"/>
        <w:szCs w:val="16"/>
        <w:lang w:val="en-US"/>
      </w:rPr>
      <w:t>5</w:t>
    </w:r>
    <w:r w:rsidRPr="00120E4C">
      <w:rPr>
        <w:rFonts w:ascii="Arial" w:hAnsi="Arial" w:cs="Arial"/>
        <w:sz w:val="16"/>
        <w:szCs w:val="16"/>
        <w:lang w:val="en-US"/>
      </w:rPr>
      <w:tab/>
      <w:t xml:space="preserve">PROC 50.06 – </w:t>
    </w:r>
    <w:r w:rsidR="0051428F">
      <w:rPr>
        <w:rFonts w:ascii="Arial" w:hAnsi="Arial" w:cs="Arial"/>
        <w:sz w:val="16"/>
        <w:szCs w:val="16"/>
        <w:lang w:val="en-US"/>
      </w:rPr>
      <w:t xml:space="preserve">Safety </w:t>
    </w:r>
    <w:r w:rsidRPr="00120E4C">
      <w:rPr>
        <w:rFonts w:ascii="Arial" w:hAnsi="Arial" w:cs="Arial"/>
        <w:sz w:val="16"/>
        <w:szCs w:val="16"/>
        <w:lang w:val="en-US"/>
      </w:rPr>
      <w:t>Training and Competency</w:t>
    </w:r>
    <w:r w:rsidRPr="00120E4C">
      <w:rPr>
        <w:rFonts w:ascii="Arial" w:hAnsi="Arial" w:cs="Arial"/>
        <w:sz w:val="16"/>
        <w:szCs w:val="16"/>
        <w:lang w:val="en-US"/>
      </w:rPr>
      <w:tab/>
      <w:t xml:space="preserve">Issue </w:t>
    </w:r>
    <w:r w:rsidR="00EE3B18">
      <w:rPr>
        <w:rFonts w:ascii="Arial" w:hAnsi="Arial" w:cs="Arial"/>
        <w:sz w:val="16"/>
        <w:szCs w:val="16"/>
        <w:lang w:val="en-US"/>
      </w:rPr>
      <w:t>4</w:t>
    </w:r>
  </w:p>
  <w:p w:rsidR="000340A2" w:rsidRPr="00120E4C" w:rsidRDefault="000340A2" w:rsidP="0051428F">
    <w:pPr>
      <w:pStyle w:val="Footer"/>
      <w:tabs>
        <w:tab w:val="clear" w:pos="4153"/>
        <w:tab w:val="clear" w:pos="8306"/>
        <w:tab w:val="right" w:pos="8931"/>
      </w:tabs>
      <w:rPr>
        <w:rFonts w:ascii="Arial" w:hAnsi="Arial" w:cs="Arial"/>
        <w:sz w:val="16"/>
        <w:szCs w:val="16"/>
        <w:lang w:val="en-US"/>
      </w:rPr>
    </w:pPr>
    <w:r w:rsidRPr="00120E4C">
      <w:rPr>
        <w:rFonts w:ascii="Arial" w:hAnsi="Arial" w:cs="Arial"/>
        <w:sz w:val="16"/>
        <w:szCs w:val="16"/>
        <w:lang w:val="en-US"/>
      </w:rPr>
      <w:t xml:space="preserve">Due for Review: </w:t>
    </w:r>
    <w:r w:rsidR="00EE3B18">
      <w:rPr>
        <w:rFonts w:ascii="Arial" w:hAnsi="Arial" w:cs="Arial"/>
        <w:sz w:val="16"/>
        <w:szCs w:val="16"/>
        <w:lang w:val="en-US"/>
      </w:rPr>
      <w:t>August</w:t>
    </w:r>
    <w:r w:rsidRPr="00120E4C">
      <w:rPr>
        <w:rFonts w:ascii="Arial" w:hAnsi="Arial" w:cs="Arial"/>
        <w:sz w:val="16"/>
        <w:szCs w:val="16"/>
        <w:lang w:val="en-US"/>
      </w:rPr>
      <w:t xml:space="preserve"> 201</w:t>
    </w:r>
    <w:r w:rsidR="00EE3B18">
      <w:rPr>
        <w:rFonts w:ascii="Arial" w:hAnsi="Arial" w:cs="Arial"/>
        <w:sz w:val="16"/>
        <w:szCs w:val="16"/>
        <w:lang w:val="en-US"/>
      </w:rPr>
      <w:t>8</w:t>
    </w:r>
    <w:r w:rsidR="0051428F">
      <w:rPr>
        <w:rFonts w:ascii="Arial" w:hAnsi="Arial" w:cs="Arial"/>
        <w:sz w:val="16"/>
        <w:szCs w:val="16"/>
        <w:lang w:val="en-US"/>
      </w:rPr>
      <w:tab/>
    </w:r>
    <w:r w:rsidRPr="00120E4C">
      <w:rPr>
        <w:rFonts w:ascii="Arial" w:hAnsi="Arial" w:cs="Arial"/>
        <w:sz w:val="16"/>
        <w:szCs w:val="16"/>
        <w:lang w:val="en-US"/>
      </w:rPr>
      <w:t xml:space="preserve">Page </w:t>
    </w:r>
    <w:r w:rsidRPr="00120E4C">
      <w:rPr>
        <w:rFonts w:ascii="Arial" w:hAnsi="Arial" w:cs="Arial"/>
        <w:sz w:val="16"/>
        <w:szCs w:val="16"/>
        <w:lang w:val="en-US"/>
      </w:rPr>
      <w:fldChar w:fldCharType="begin"/>
    </w:r>
    <w:r w:rsidRPr="00120E4C">
      <w:rPr>
        <w:rFonts w:ascii="Arial" w:hAnsi="Arial" w:cs="Arial"/>
        <w:sz w:val="16"/>
        <w:szCs w:val="16"/>
        <w:lang w:val="en-US"/>
      </w:rPr>
      <w:instrText xml:space="preserve"> PAGE </w:instrText>
    </w:r>
    <w:r w:rsidRPr="00120E4C">
      <w:rPr>
        <w:rFonts w:ascii="Arial" w:hAnsi="Arial" w:cs="Arial"/>
        <w:sz w:val="16"/>
        <w:szCs w:val="16"/>
        <w:lang w:val="en-US"/>
      </w:rPr>
      <w:fldChar w:fldCharType="separate"/>
    </w:r>
    <w:r w:rsidR="004F3C7D">
      <w:rPr>
        <w:rFonts w:ascii="Arial" w:hAnsi="Arial" w:cs="Arial"/>
        <w:noProof/>
        <w:sz w:val="16"/>
        <w:szCs w:val="16"/>
        <w:lang w:val="en-US"/>
      </w:rPr>
      <w:t>1</w:t>
    </w:r>
    <w:r w:rsidRPr="00120E4C">
      <w:rPr>
        <w:rFonts w:ascii="Arial" w:hAnsi="Arial" w:cs="Arial"/>
        <w:sz w:val="16"/>
        <w:szCs w:val="16"/>
        <w:lang w:val="en-US"/>
      </w:rPr>
      <w:fldChar w:fldCharType="end"/>
    </w:r>
    <w:r w:rsidRPr="00120E4C">
      <w:rPr>
        <w:rFonts w:ascii="Arial" w:hAnsi="Arial" w:cs="Arial"/>
        <w:sz w:val="16"/>
        <w:szCs w:val="16"/>
        <w:lang w:val="en-US"/>
      </w:rPr>
      <w:t xml:space="preserve"> of </w:t>
    </w:r>
    <w:r w:rsidRPr="00120E4C">
      <w:rPr>
        <w:rFonts w:ascii="Arial" w:hAnsi="Arial" w:cs="Arial"/>
        <w:sz w:val="16"/>
        <w:szCs w:val="16"/>
        <w:lang w:val="en-US"/>
      </w:rPr>
      <w:fldChar w:fldCharType="begin"/>
    </w:r>
    <w:r w:rsidRPr="00120E4C">
      <w:rPr>
        <w:rFonts w:ascii="Arial" w:hAnsi="Arial" w:cs="Arial"/>
        <w:sz w:val="16"/>
        <w:szCs w:val="16"/>
        <w:lang w:val="en-US"/>
      </w:rPr>
      <w:instrText xml:space="preserve"> NUMPAGES </w:instrText>
    </w:r>
    <w:r w:rsidRPr="00120E4C">
      <w:rPr>
        <w:rFonts w:ascii="Arial" w:hAnsi="Arial" w:cs="Arial"/>
        <w:sz w:val="16"/>
        <w:szCs w:val="16"/>
        <w:lang w:val="en-US"/>
      </w:rPr>
      <w:fldChar w:fldCharType="separate"/>
    </w:r>
    <w:r w:rsidR="004F3C7D">
      <w:rPr>
        <w:rFonts w:ascii="Arial" w:hAnsi="Arial" w:cs="Arial"/>
        <w:noProof/>
        <w:sz w:val="16"/>
        <w:szCs w:val="16"/>
        <w:lang w:val="en-US"/>
      </w:rPr>
      <w:t>2</w:t>
    </w:r>
    <w:r w:rsidRPr="00120E4C">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87" w:rsidRDefault="00737D87">
      <w:r>
        <w:separator/>
      </w:r>
    </w:p>
  </w:footnote>
  <w:footnote w:type="continuationSeparator" w:id="0">
    <w:p w:rsidR="00737D87" w:rsidRDefault="0073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A2" w:rsidRPr="00120E4C" w:rsidRDefault="000340A2" w:rsidP="0051428F">
    <w:pPr>
      <w:pStyle w:val="Header"/>
      <w:tabs>
        <w:tab w:val="clear" w:pos="4153"/>
        <w:tab w:val="clear" w:pos="8306"/>
        <w:tab w:val="right" w:pos="8931"/>
      </w:tabs>
      <w:jc w:val="right"/>
      <w:rPr>
        <w:rFonts w:ascii="Arial" w:hAnsi="Arial" w:cs="Arial"/>
        <w:sz w:val="16"/>
        <w:szCs w:val="16"/>
        <w:lang w:val="en-US"/>
      </w:rPr>
    </w:pPr>
    <w:r w:rsidRPr="00120E4C">
      <w:rPr>
        <w:rFonts w:ascii="Arial" w:hAnsi="Arial" w:cs="Arial"/>
        <w:sz w:val="16"/>
        <w:szCs w:val="16"/>
        <w:lang w:val="en-US"/>
      </w:rPr>
      <w:t>WI 50.06.07 – SMC 10</w:t>
    </w:r>
    <w:r w:rsidR="0051428F">
      <w:rPr>
        <w:rFonts w:ascii="Arial" w:hAnsi="Arial" w:cs="Arial"/>
        <w:sz w:val="16"/>
        <w:szCs w:val="16"/>
        <w:lang w:val="en-US"/>
      </w:rPr>
      <w:t xml:space="preserve"> – Apply fatigue management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58"/>
    <w:multiLevelType w:val="singleLevel"/>
    <w:tmpl w:val="5F3AE3F5"/>
    <w:lvl w:ilvl="0">
      <w:numFmt w:val="bullet"/>
      <w:lvlText w:val="·"/>
      <w:lvlJc w:val="left"/>
      <w:pPr>
        <w:tabs>
          <w:tab w:val="num" w:pos="216"/>
        </w:tabs>
        <w:ind w:left="360" w:hanging="216"/>
      </w:pPr>
      <w:rPr>
        <w:rFonts w:ascii="Symbol" w:hAnsi="Symbol" w:cs="Symbol"/>
        <w:snapToGrid/>
        <w:color w:val="000000"/>
        <w:sz w:val="18"/>
        <w:szCs w:val="18"/>
      </w:rPr>
    </w:lvl>
  </w:abstractNum>
  <w:abstractNum w:abstractNumId="1">
    <w:nsid w:val="0558E644"/>
    <w:multiLevelType w:val="singleLevel"/>
    <w:tmpl w:val="35FDF673"/>
    <w:lvl w:ilvl="0">
      <w:numFmt w:val="bullet"/>
      <w:lvlText w:val="-"/>
      <w:lvlJc w:val="left"/>
      <w:pPr>
        <w:tabs>
          <w:tab w:val="num" w:pos="216"/>
        </w:tabs>
        <w:ind w:left="360"/>
      </w:pPr>
      <w:rPr>
        <w:rFonts w:ascii="Symbol" w:hAnsi="Symbol" w:cs="Symbol"/>
        <w:snapToGrid/>
        <w:color w:val="000000"/>
        <w:sz w:val="18"/>
        <w:szCs w:val="18"/>
      </w:rPr>
    </w:lvl>
  </w:abstractNum>
  <w:abstractNum w:abstractNumId="2">
    <w:nsid w:val="19AA3771"/>
    <w:multiLevelType w:val="multilevel"/>
    <w:tmpl w:val="55A293F8"/>
    <w:lvl w:ilvl="0">
      <w:start w:val="1"/>
      <w:numFmt w:val="decimal"/>
      <w:lvlText w:val="%1"/>
      <w:lvlJc w:val="left"/>
      <w:pPr>
        <w:tabs>
          <w:tab w:val="num" w:pos="480"/>
        </w:tabs>
        <w:ind w:left="480" w:hanging="480"/>
      </w:pPr>
      <w:rPr>
        <w:rFonts w:hint="default"/>
      </w:rPr>
    </w:lvl>
    <w:lvl w:ilvl="1">
      <w:start w:val="1"/>
      <w:numFmt w:val="none"/>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BB2AD1"/>
    <w:multiLevelType w:val="hybridMultilevel"/>
    <w:tmpl w:val="778E1014"/>
    <w:lvl w:ilvl="0" w:tplc="EC0E61DA">
      <w:start w:val="1"/>
      <w:numFmt w:val="decimal"/>
      <w:lvlText w:val="%1"/>
      <w:lvlJc w:val="left"/>
      <w:pPr>
        <w:tabs>
          <w:tab w:val="num" w:pos="504"/>
        </w:tabs>
        <w:ind w:left="504" w:hanging="360"/>
      </w:pPr>
      <w:rPr>
        <w:rFonts w:hint="default"/>
        <w:b w:val="0"/>
        <w:color w:val="auto"/>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nsid w:val="21934132"/>
    <w:multiLevelType w:val="multilevel"/>
    <w:tmpl w:val="C8948044"/>
    <w:lvl w:ilvl="0">
      <w:start w:val="1"/>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0"/>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1080"/>
        </w:tabs>
        <w:ind w:left="1080" w:hanging="108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440"/>
        </w:tabs>
        <w:ind w:left="1440" w:hanging="144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800"/>
        </w:tabs>
        <w:ind w:left="1800" w:hanging="180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5">
    <w:nsid w:val="315426A5"/>
    <w:multiLevelType w:val="hybridMultilevel"/>
    <w:tmpl w:val="94669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880C7D"/>
    <w:multiLevelType w:val="multilevel"/>
    <w:tmpl w:val="829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F423E"/>
    <w:multiLevelType w:val="multilevel"/>
    <w:tmpl w:val="0A2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B694E"/>
    <w:multiLevelType w:val="hybridMultilevel"/>
    <w:tmpl w:val="3212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E5696C"/>
    <w:multiLevelType w:val="multilevel"/>
    <w:tmpl w:val="982C45CE"/>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1080"/>
        </w:tabs>
        <w:ind w:left="1080" w:hanging="108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440"/>
        </w:tabs>
        <w:ind w:left="1440" w:hanging="144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800"/>
        </w:tabs>
        <w:ind w:left="1800" w:hanging="180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10">
    <w:nsid w:val="660526C6"/>
    <w:multiLevelType w:val="hybridMultilevel"/>
    <w:tmpl w:val="6A6A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4803ED"/>
    <w:multiLevelType w:val="multilevel"/>
    <w:tmpl w:val="706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216"/>
          </w:tabs>
          <w:ind w:left="360" w:hanging="216"/>
        </w:pPr>
        <w:rPr>
          <w:rFonts w:ascii="Symbol" w:hAnsi="Symbol" w:cs="Symbol"/>
          <w:snapToGrid/>
          <w:color w:val="000000"/>
          <w:sz w:val="18"/>
          <w:szCs w:val="18"/>
        </w:rPr>
      </w:lvl>
    </w:lvlOverride>
  </w:num>
  <w:num w:numId="2">
    <w:abstractNumId w:val="4"/>
  </w:num>
  <w:num w:numId="3">
    <w:abstractNumId w:val="3"/>
  </w:num>
  <w:num w:numId="4">
    <w:abstractNumId w:val="0"/>
  </w:num>
  <w:num w:numId="5">
    <w:abstractNumId w:val="2"/>
  </w:num>
  <w:num w:numId="6">
    <w:abstractNumId w:val="0"/>
    <w:lvlOverride w:ilvl="0">
      <w:lvl w:ilvl="0">
        <w:numFmt w:val="bullet"/>
        <w:lvlText w:val="·"/>
        <w:lvlJc w:val="left"/>
        <w:pPr>
          <w:tabs>
            <w:tab w:val="num" w:pos="288"/>
          </w:tabs>
          <w:ind w:left="360" w:hanging="288"/>
        </w:pPr>
        <w:rPr>
          <w:rFonts w:ascii="Symbol" w:hAnsi="Symbol" w:cs="Symbol"/>
          <w:snapToGrid/>
          <w:color w:val="000000"/>
          <w:spacing w:val="20"/>
          <w:sz w:val="18"/>
          <w:szCs w:val="18"/>
        </w:rPr>
      </w:lvl>
    </w:lvlOverride>
  </w:num>
  <w:num w:numId="7">
    <w:abstractNumId w:val="8"/>
  </w:num>
  <w:num w:numId="8">
    <w:abstractNumId w:val="9"/>
  </w:num>
  <w:num w:numId="9">
    <w:abstractNumId w:val="0"/>
    <w:lvlOverride w:ilvl="0">
      <w:lvl w:ilvl="0">
        <w:numFmt w:val="bullet"/>
        <w:lvlText w:val="·"/>
        <w:lvlJc w:val="left"/>
        <w:pPr>
          <w:tabs>
            <w:tab w:val="num" w:pos="216"/>
          </w:tabs>
          <w:ind w:left="360" w:hanging="216"/>
        </w:pPr>
        <w:rPr>
          <w:rFonts w:ascii="Symbol" w:hAnsi="Symbol" w:cs="Symbol"/>
          <w:snapToGrid/>
          <w:color w:val="000000"/>
          <w:spacing w:val="-6"/>
          <w:sz w:val="18"/>
          <w:szCs w:val="18"/>
        </w:rPr>
      </w:lvl>
    </w:lvlOverride>
  </w:num>
  <w:num w:numId="10">
    <w:abstractNumId w:val="1"/>
  </w:num>
  <w:num w:numId="11">
    <w:abstractNumId w:val="6"/>
  </w:num>
  <w:num w:numId="12">
    <w:abstractNumId w:val="11"/>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aK65hJZuR9oY8kSY8uTfPVvu/8=" w:salt="+qPQLuxNsnUIU6gL2OkOSA=="/>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D"/>
    <w:rsid w:val="0002567E"/>
    <w:rsid w:val="000340A2"/>
    <w:rsid w:val="00035202"/>
    <w:rsid w:val="00090EA7"/>
    <w:rsid w:val="00120E4C"/>
    <w:rsid w:val="001E2334"/>
    <w:rsid w:val="00265DA7"/>
    <w:rsid w:val="00360FE5"/>
    <w:rsid w:val="003803D8"/>
    <w:rsid w:val="003D396F"/>
    <w:rsid w:val="00441B1E"/>
    <w:rsid w:val="00461DD1"/>
    <w:rsid w:val="00470606"/>
    <w:rsid w:val="004945CD"/>
    <w:rsid w:val="004F3C7D"/>
    <w:rsid w:val="0051428F"/>
    <w:rsid w:val="00517819"/>
    <w:rsid w:val="005917CD"/>
    <w:rsid w:val="005E37F3"/>
    <w:rsid w:val="005E43FE"/>
    <w:rsid w:val="006203CC"/>
    <w:rsid w:val="006B7569"/>
    <w:rsid w:val="00737D87"/>
    <w:rsid w:val="00833CC8"/>
    <w:rsid w:val="008B6F30"/>
    <w:rsid w:val="00907D8F"/>
    <w:rsid w:val="009B17F7"/>
    <w:rsid w:val="00A17864"/>
    <w:rsid w:val="00A37856"/>
    <w:rsid w:val="00A65572"/>
    <w:rsid w:val="00AD1BEA"/>
    <w:rsid w:val="00B329FD"/>
    <w:rsid w:val="00B5157E"/>
    <w:rsid w:val="00C166A6"/>
    <w:rsid w:val="00C63DA8"/>
    <w:rsid w:val="00C763F2"/>
    <w:rsid w:val="00D61B76"/>
    <w:rsid w:val="00D876BD"/>
    <w:rsid w:val="00D9436B"/>
    <w:rsid w:val="00DC3EEE"/>
    <w:rsid w:val="00E63A88"/>
    <w:rsid w:val="00EE14C9"/>
    <w:rsid w:val="00EE3B18"/>
    <w:rsid w:val="00F654BD"/>
    <w:rsid w:val="00FE2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spacing w:before="40" w:after="40" w:line="276" w:lineRule="auto"/>
      <w:ind w:left="144" w:right="68"/>
    </w:pPr>
    <w:rPr>
      <w:rFonts w:ascii="Arial" w:hAnsi="Arial" w:cs="Arial"/>
      <w:color w:val="000000"/>
      <w:sz w:val="18"/>
      <w:szCs w:val="18"/>
    </w:rPr>
  </w:style>
  <w:style w:type="paragraph" w:styleId="BodyText">
    <w:name w:val="Body Text"/>
    <w:basedOn w:val="Normal"/>
    <w:rPr>
      <w:rFonts w:ascii="Arial" w:hAnsi="Arial" w:cs="Arial"/>
      <w:color w:val="000000"/>
      <w:sz w:val="18"/>
      <w:szCs w:val="18"/>
    </w:rPr>
  </w:style>
  <w:style w:type="paragraph" w:styleId="BodyTextIndent">
    <w:name w:val="Body Text Indent"/>
    <w:basedOn w:val="Normal"/>
    <w:pPr>
      <w:ind w:left="432" w:hanging="432"/>
    </w:pPr>
    <w:rPr>
      <w:rFonts w:ascii="Arial" w:hAnsi="Arial" w:cs="Arial"/>
      <w:color w:val="000000"/>
      <w:sz w:val="18"/>
      <w:szCs w:val="18"/>
    </w:rPr>
  </w:style>
  <w:style w:type="paragraph" w:styleId="BodyText2">
    <w:name w:val="Body Text 2"/>
    <w:basedOn w:val="Normal"/>
    <w:rPr>
      <w:rFonts w:ascii="Arial" w:hAnsi="Arial" w:cs="Arial"/>
      <w:b/>
      <w:bCs/>
    </w:rPr>
  </w:style>
  <w:style w:type="paragraph" w:styleId="ListParagraph">
    <w:name w:val="List Paragraph"/>
    <w:basedOn w:val="Normal"/>
    <w:qFormat/>
    <w:pPr>
      <w:ind w:left="720"/>
    </w:pPr>
    <w:rPr>
      <w:lang w:eastAsia="en-AU"/>
    </w:rPr>
  </w:style>
  <w:style w:type="paragraph" w:styleId="Header">
    <w:name w:val="header"/>
    <w:basedOn w:val="Normal"/>
    <w:rsid w:val="00B329FD"/>
    <w:pPr>
      <w:tabs>
        <w:tab w:val="center" w:pos="4153"/>
        <w:tab w:val="right" w:pos="8306"/>
      </w:tabs>
    </w:pPr>
  </w:style>
  <w:style w:type="paragraph" w:styleId="Footer">
    <w:name w:val="footer"/>
    <w:basedOn w:val="Normal"/>
    <w:rsid w:val="00B329FD"/>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spacing w:before="40" w:after="40" w:line="276" w:lineRule="auto"/>
      <w:ind w:left="144" w:right="68"/>
    </w:pPr>
    <w:rPr>
      <w:rFonts w:ascii="Arial" w:hAnsi="Arial" w:cs="Arial"/>
      <w:color w:val="000000"/>
      <w:sz w:val="18"/>
      <w:szCs w:val="18"/>
    </w:rPr>
  </w:style>
  <w:style w:type="paragraph" w:styleId="BodyText">
    <w:name w:val="Body Text"/>
    <w:basedOn w:val="Normal"/>
    <w:rPr>
      <w:rFonts w:ascii="Arial" w:hAnsi="Arial" w:cs="Arial"/>
      <w:color w:val="000000"/>
      <w:sz w:val="18"/>
      <w:szCs w:val="18"/>
    </w:rPr>
  </w:style>
  <w:style w:type="paragraph" w:styleId="BodyTextIndent">
    <w:name w:val="Body Text Indent"/>
    <w:basedOn w:val="Normal"/>
    <w:pPr>
      <w:ind w:left="432" w:hanging="432"/>
    </w:pPr>
    <w:rPr>
      <w:rFonts w:ascii="Arial" w:hAnsi="Arial" w:cs="Arial"/>
      <w:color w:val="000000"/>
      <w:sz w:val="18"/>
      <w:szCs w:val="18"/>
    </w:rPr>
  </w:style>
  <w:style w:type="paragraph" w:styleId="BodyText2">
    <w:name w:val="Body Text 2"/>
    <w:basedOn w:val="Normal"/>
    <w:rPr>
      <w:rFonts w:ascii="Arial" w:hAnsi="Arial" w:cs="Arial"/>
      <w:b/>
      <w:bCs/>
    </w:rPr>
  </w:style>
  <w:style w:type="paragraph" w:styleId="ListParagraph">
    <w:name w:val="List Paragraph"/>
    <w:basedOn w:val="Normal"/>
    <w:qFormat/>
    <w:pPr>
      <w:ind w:left="720"/>
    </w:pPr>
    <w:rPr>
      <w:lang w:eastAsia="en-AU"/>
    </w:rPr>
  </w:style>
  <w:style w:type="paragraph" w:styleId="Header">
    <w:name w:val="header"/>
    <w:basedOn w:val="Normal"/>
    <w:rsid w:val="00B329FD"/>
    <w:pPr>
      <w:tabs>
        <w:tab w:val="center" w:pos="4153"/>
        <w:tab w:val="right" w:pos="8306"/>
      </w:tabs>
    </w:pPr>
  </w:style>
  <w:style w:type="paragraph" w:styleId="Footer">
    <w:name w:val="footer"/>
    <w:basedOn w:val="Normal"/>
    <w:rsid w:val="00B329F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C3DBF6E</Template>
  <TotalTime>1</TotalTime>
  <Pages>2</Pages>
  <Words>559</Words>
  <Characters>3449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SMT 1 Promote a positive and proactive safety culture in the workplace</vt:lpstr>
    </vt:vector>
  </TitlesOfParts>
  <Company>State Transit Authority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1 Promote a positive and proactive safety culture in the workplace</dc:title>
  <dc:creator>Michael Broad</dc:creator>
  <cp:lastModifiedBy>Zorica Tomovska, 859561</cp:lastModifiedBy>
  <cp:revision>2</cp:revision>
  <cp:lastPrinted>2012-07-12T04:57:00Z</cp:lastPrinted>
  <dcterms:created xsi:type="dcterms:W3CDTF">2016-01-28T03:17:00Z</dcterms:created>
  <dcterms:modified xsi:type="dcterms:W3CDTF">2016-01-28T03:17:00Z</dcterms:modified>
</cp:coreProperties>
</file>